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Výpis klíčových ustanovení – Zákon č. 19/2023 Sb. (akcelerační zóny)</w:t>
      </w:r>
    </w:p>
    <w:p>
      <w:pPr>
        <w:pStyle w:val="Heading2"/>
      </w:pPr>
      <w:r>
        <w:t>§ – Vymezení akceleračních zón (parafráze)</w:t>
      </w:r>
    </w:p>
    <w:p>
      <w:r>
        <w:t>Zákon umožňuje krajům a některým ministerstvům vymezit území, ve kterých lze povolovat energetickou infrastrukturu zrychleným postupem. Jde zejména o větrné a fotovoltaické elektrárny, včetně jejich napojení na síť. Vymezení musí být zveřejněno a odůvodněno.</w:t>
      </w:r>
    </w:p>
    <w:p>
      <w:pPr>
        <w:pStyle w:val="Heading2"/>
      </w:pPr>
      <w:r>
        <w:t>§ – Zrychlené povolovací řízení</w:t>
      </w:r>
    </w:p>
    <w:p>
      <w:r>
        <w:t>V akcelerační zóně platí kratší lhůty pro rozhodování úřadů. Dotčené orgány musí vydat stanoviska v určené zkrácené lhůtě. Pokud lhůta uplyne, má se za to, že stanovisko nemá připomínky.</w:t>
      </w:r>
    </w:p>
    <w:p>
      <w:pPr>
        <w:pStyle w:val="Heading2"/>
      </w:pPr>
      <w:r>
        <w:t>§ – Účast veřejnosti</w:t>
      </w:r>
    </w:p>
    <w:p>
      <w:r>
        <w:t>Veřejnost má právo být informována, ale rozsah povinného zapojení je užší než v běžném řízení. Připomínky je možné podat, úřad je však nemusí detailně vypořádat.</w:t>
      </w:r>
    </w:p>
    <w:p>
      <w:pPr>
        <w:pStyle w:val="Heading2"/>
      </w:pPr>
      <w:r>
        <w:t>§ – Posuzování vlivů na životní prostředí (EIA)</w:t>
      </w:r>
    </w:p>
    <w:p>
      <w:r>
        <w:t>U některých projektů lze zvolit zjednodušené posouzení vlivů. U menších projektů může být EIA zcela vyloučena, pokud nepřekročí stanovené limity a nehrozí významné dopady na životní prostředí.</w:t>
      </w:r>
    </w:p>
    <w:p>
      <w:pPr>
        <w:pStyle w:val="Heading2"/>
      </w:pPr>
      <w:r>
        <w:t>§ – Majetkoprávní postupy</w:t>
      </w:r>
    </w:p>
    <w:p>
      <w:r>
        <w:t>Zákon umožňuje zrychlené vypořádání majetkoprávních vztahů. U infrastrukturních staveb může být zahájeno i řízení o omezení vlastnického práva nebo vyvlastnění, pokud je stavba považována za veřejný zájem.</w:t>
      </w:r>
    </w:p>
    <w:p>
      <w:pPr>
        <w:pStyle w:val="Heading2"/>
      </w:pPr>
      <w:r>
        <w:t>§ – Povinnosti krajů a ministerstev</w:t>
      </w:r>
    </w:p>
    <w:p>
      <w:r>
        <w:t>Kraje musí při vymezování akceleračních zón zohlednit územní plán, ochranu krajiny, dopady na obce a veřejný zájem. Ministerstva mohou vymezit zóny pro strategické projekty s celostátním dopadem.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